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8D5" w:rsidRPr="000630D3" w:rsidRDefault="005F28D5">
      <w:pPr>
        <w:rPr>
          <w:b/>
        </w:rPr>
      </w:pPr>
      <w:r w:rsidRPr="000630D3">
        <w:rPr>
          <w:b/>
        </w:rPr>
        <w:t>GLOBAL CHALLENGES RESEARCH FUND - Call for proposals</w:t>
      </w:r>
    </w:p>
    <w:p w:rsidR="005F28D5" w:rsidRPr="000630D3" w:rsidRDefault="005F28D5">
      <w:r w:rsidRPr="000630D3">
        <w:t xml:space="preserve">Five UK Research Councils have announced the first joint interdisciplinary calls from the new 5-year, £1.5Bn Global Challenges Research Fund (GCRF), created to ensure that UK research takes a leading role in addressing the problems faced by developing countries. This funding from BBSRC, MRC, AHRC, ESRC and NERC reflects the need for all disciplines to contribute to achieve international development goals. </w:t>
      </w:r>
      <w:hyperlink r:id="rId5" w:history="1">
        <w:r w:rsidRPr="000630D3">
          <w:rPr>
            <w:rStyle w:val="Hyperlink"/>
          </w:rPr>
          <w:t>http://ht.ly/SzrS300ao9q</w:t>
        </w:r>
      </w:hyperlink>
    </w:p>
    <w:p w:rsidR="005F28D5" w:rsidRPr="000630D3" w:rsidRDefault="005F28D5" w:rsidP="00602089">
      <w:pPr>
        <w:spacing w:after="0" w:line="240" w:lineRule="auto"/>
        <w:rPr>
          <w:b/>
          <w:bCs/>
        </w:rPr>
      </w:pPr>
      <w:r w:rsidRPr="000630D3">
        <w:rPr>
          <w:b/>
          <w:bCs/>
        </w:rPr>
        <w:t>Amount available: up to £600,000</w:t>
      </w:r>
    </w:p>
    <w:p w:rsidR="005F28D5" w:rsidRPr="000630D3" w:rsidRDefault="005F28D5" w:rsidP="00602089">
      <w:pPr>
        <w:spacing w:after="0" w:line="240" w:lineRule="auto"/>
      </w:pPr>
      <w:r w:rsidRPr="000630D3">
        <w:rPr>
          <w:b/>
          <w:bCs/>
        </w:rPr>
        <w:t>Deadline for outline applications: 4pm, 22 June 2016</w:t>
      </w:r>
    </w:p>
    <w:p w:rsidR="005F28D5" w:rsidRPr="000630D3" w:rsidRDefault="005F28D5" w:rsidP="00602089">
      <w:pPr>
        <w:spacing w:after="0" w:line="240" w:lineRule="auto"/>
        <w:rPr>
          <w:b/>
        </w:rPr>
      </w:pPr>
      <w:r w:rsidRPr="000630D3">
        <w:rPr>
          <w:b/>
        </w:rPr>
        <w:t>Awards would start on 1 April 2017, for applications for proposals of ~24 months’ duration.</w:t>
      </w:r>
    </w:p>
    <w:p w:rsidR="005F28D5" w:rsidRPr="000630D3" w:rsidRDefault="005F28D5" w:rsidP="00602089">
      <w:pPr>
        <w:spacing w:after="0" w:line="240" w:lineRule="auto"/>
        <w:rPr>
          <w:b/>
        </w:rPr>
      </w:pPr>
    </w:p>
    <w:p w:rsidR="005F28D5" w:rsidRPr="000630D3" w:rsidRDefault="005F28D5" w:rsidP="004C4CF7">
      <w:pPr>
        <w:spacing w:after="0" w:line="240" w:lineRule="auto"/>
        <w:rPr>
          <w:b/>
        </w:rPr>
      </w:pPr>
      <w:r w:rsidRPr="000630D3">
        <w:rPr>
          <w:b/>
        </w:rPr>
        <w:t>These short-to-medium term investments aim to:</w:t>
      </w:r>
    </w:p>
    <w:p w:rsidR="005F28D5" w:rsidRPr="000630D3" w:rsidRDefault="005F28D5" w:rsidP="004C4CF7">
      <w:pPr>
        <w:pStyle w:val="ListParagraph"/>
        <w:numPr>
          <w:ilvl w:val="0"/>
          <w:numId w:val="6"/>
        </w:numPr>
        <w:spacing w:after="0" w:line="240" w:lineRule="auto"/>
        <w:contextualSpacing w:val="0"/>
      </w:pPr>
      <w:r w:rsidRPr="000630D3">
        <w:t>Deploy existing UK research strengths and/ or emerging capabilities in research relevant to challenges in Low and Middle Income Countries (LMICs)</w:t>
      </w:r>
    </w:p>
    <w:p w:rsidR="005F28D5" w:rsidRPr="000630D3" w:rsidRDefault="005F28D5" w:rsidP="004C4CF7">
      <w:pPr>
        <w:pStyle w:val="ListParagraph"/>
        <w:numPr>
          <w:ilvl w:val="0"/>
          <w:numId w:val="6"/>
        </w:numPr>
        <w:spacing w:after="0" w:line="240" w:lineRule="auto"/>
        <w:contextualSpacing w:val="0"/>
        <w:rPr>
          <w:bCs/>
        </w:rPr>
      </w:pPr>
      <w:r w:rsidRPr="000630D3">
        <w:rPr>
          <w:bCs/>
        </w:rPr>
        <w:t>Promote multidisciplinary approaches</w:t>
      </w:r>
    </w:p>
    <w:p w:rsidR="005F28D5" w:rsidRPr="000630D3" w:rsidRDefault="005F28D5" w:rsidP="004C4CF7">
      <w:pPr>
        <w:pStyle w:val="ListParagraph"/>
        <w:numPr>
          <w:ilvl w:val="0"/>
          <w:numId w:val="6"/>
        </w:numPr>
        <w:spacing w:after="0" w:line="240" w:lineRule="auto"/>
        <w:contextualSpacing w:val="0"/>
      </w:pPr>
      <w:r w:rsidRPr="000630D3">
        <w:t>Encourage partnerships between UK research teams and LMICs</w:t>
      </w:r>
    </w:p>
    <w:p w:rsidR="005F28D5" w:rsidRPr="000630D3" w:rsidRDefault="005F28D5" w:rsidP="004C4CF7">
      <w:pPr>
        <w:pStyle w:val="ListParagraph"/>
        <w:numPr>
          <w:ilvl w:val="0"/>
          <w:numId w:val="6"/>
        </w:numPr>
        <w:spacing w:after="0" w:line="240" w:lineRule="auto"/>
        <w:contextualSpacing w:val="0"/>
        <w:rPr>
          <w:bCs/>
        </w:rPr>
      </w:pPr>
      <w:r w:rsidRPr="000630D3">
        <w:rPr>
          <w:bCs/>
        </w:rPr>
        <w:t>Build on any existing UK-LMICs links</w:t>
      </w:r>
    </w:p>
    <w:p w:rsidR="005F28D5" w:rsidRPr="000630D3" w:rsidRDefault="005F28D5" w:rsidP="004C4CF7">
      <w:pPr>
        <w:pStyle w:val="ListParagraph"/>
        <w:numPr>
          <w:ilvl w:val="0"/>
          <w:numId w:val="6"/>
        </w:numPr>
        <w:spacing w:after="0" w:line="240" w:lineRule="auto"/>
        <w:contextualSpacing w:val="0"/>
      </w:pPr>
      <w:r w:rsidRPr="000630D3">
        <w:t>Develop new or enhanced research capacity for agreeing the agriculture &amp; food challenges of LMICs</w:t>
      </w:r>
    </w:p>
    <w:p w:rsidR="005F28D5" w:rsidRPr="000630D3" w:rsidRDefault="005F28D5" w:rsidP="004C4CF7">
      <w:pPr>
        <w:pStyle w:val="ListParagraph"/>
        <w:spacing w:after="0" w:line="240" w:lineRule="auto"/>
        <w:contextualSpacing w:val="0"/>
      </w:pPr>
    </w:p>
    <w:p w:rsidR="005F28D5" w:rsidRPr="000630D3" w:rsidRDefault="005F28D5" w:rsidP="004C4CF7">
      <w:pPr>
        <w:spacing w:after="0" w:line="240" w:lineRule="auto"/>
      </w:pPr>
      <w:r w:rsidRPr="000630D3">
        <w:t xml:space="preserve">It is envisioned that foundation award funding </w:t>
      </w:r>
      <w:r w:rsidRPr="000630D3">
        <w:rPr>
          <w:b/>
          <w:bCs/>
        </w:rPr>
        <w:t>will enable the building of multidisciplinary research capability</w:t>
      </w:r>
      <w:r w:rsidRPr="000630D3">
        <w:t xml:space="preserve"> at the same time as building towards the generation of relevant new knowledge.  Uses of the funding could include:</w:t>
      </w:r>
    </w:p>
    <w:p w:rsidR="005F28D5" w:rsidRPr="000630D3" w:rsidRDefault="005F28D5" w:rsidP="004C4CF7">
      <w:pPr>
        <w:pStyle w:val="ListParagraph"/>
        <w:numPr>
          <w:ilvl w:val="0"/>
          <w:numId w:val="6"/>
        </w:numPr>
        <w:spacing w:after="0" w:line="240" w:lineRule="auto"/>
        <w:contextualSpacing w:val="0"/>
      </w:pPr>
      <w:r w:rsidRPr="000630D3">
        <w:t>Exploratory or pump-printing research studies for investigation of new approaches</w:t>
      </w:r>
    </w:p>
    <w:p w:rsidR="005F28D5" w:rsidRPr="000630D3" w:rsidRDefault="005F28D5" w:rsidP="004C4CF7">
      <w:pPr>
        <w:pStyle w:val="ListParagraph"/>
        <w:numPr>
          <w:ilvl w:val="0"/>
          <w:numId w:val="6"/>
        </w:numPr>
        <w:spacing w:after="0" w:line="240" w:lineRule="auto"/>
        <w:contextualSpacing w:val="0"/>
      </w:pPr>
      <w:r w:rsidRPr="000630D3">
        <w:t>Developing new research collaborations or partnerships</w:t>
      </w:r>
    </w:p>
    <w:p w:rsidR="005F28D5" w:rsidRPr="000630D3" w:rsidRDefault="005F28D5" w:rsidP="004C4CF7">
      <w:pPr>
        <w:pStyle w:val="ListParagraph"/>
        <w:numPr>
          <w:ilvl w:val="0"/>
          <w:numId w:val="6"/>
        </w:numPr>
        <w:spacing w:after="0" w:line="240" w:lineRule="auto"/>
        <w:contextualSpacing w:val="0"/>
      </w:pPr>
      <w:r w:rsidRPr="000630D3">
        <w:t>Extending the scope of existing research</w:t>
      </w:r>
    </w:p>
    <w:p w:rsidR="005F28D5" w:rsidRPr="000630D3" w:rsidRDefault="005F28D5" w:rsidP="004C4CF7">
      <w:pPr>
        <w:pStyle w:val="ListParagraph"/>
        <w:numPr>
          <w:ilvl w:val="0"/>
          <w:numId w:val="6"/>
        </w:numPr>
        <w:spacing w:after="0" w:line="240" w:lineRule="auto"/>
        <w:contextualSpacing w:val="0"/>
      </w:pPr>
      <w:r w:rsidRPr="000630D3">
        <w:t>Creating effective pathways to impact</w:t>
      </w:r>
    </w:p>
    <w:p w:rsidR="005F28D5" w:rsidRPr="000630D3" w:rsidRDefault="005F28D5" w:rsidP="004C4CF7">
      <w:pPr>
        <w:pStyle w:val="ListParagraph"/>
        <w:numPr>
          <w:ilvl w:val="0"/>
          <w:numId w:val="6"/>
        </w:numPr>
        <w:spacing w:after="0" w:line="240" w:lineRule="auto"/>
        <w:contextualSpacing w:val="0"/>
      </w:pPr>
      <w:r w:rsidRPr="000630D3">
        <w:t>Sampling or data collection</w:t>
      </w:r>
    </w:p>
    <w:p w:rsidR="005F28D5" w:rsidRPr="000630D3" w:rsidRDefault="005F28D5" w:rsidP="004C4CF7">
      <w:pPr>
        <w:pStyle w:val="ListParagraph"/>
        <w:numPr>
          <w:ilvl w:val="0"/>
          <w:numId w:val="6"/>
        </w:numPr>
        <w:spacing w:after="0" w:line="240" w:lineRule="auto"/>
        <w:contextualSpacing w:val="0"/>
      </w:pPr>
      <w:r w:rsidRPr="000630D3">
        <w:t>Developing or modification of relevant research tools/ techniques</w:t>
      </w:r>
    </w:p>
    <w:p w:rsidR="005F28D5" w:rsidRPr="000630D3" w:rsidRDefault="005F28D5" w:rsidP="004C4CF7">
      <w:pPr>
        <w:pStyle w:val="ListParagraph"/>
        <w:numPr>
          <w:ilvl w:val="0"/>
          <w:numId w:val="6"/>
        </w:numPr>
        <w:spacing w:after="0" w:line="240" w:lineRule="auto"/>
        <w:contextualSpacing w:val="0"/>
      </w:pPr>
      <w:r w:rsidRPr="000630D3">
        <w:t>Enhancing capability and/or capacity (eg. placements/ exchanges)</w:t>
      </w:r>
    </w:p>
    <w:p w:rsidR="005F28D5" w:rsidRPr="000630D3" w:rsidRDefault="005F28D5" w:rsidP="004C4CF7">
      <w:pPr>
        <w:pStyle w:val="ListParagraph"/>
        <w:spacing w:after="0" w:line="240" w:lineRule="auto"/>
        <w:contextualSpacing w:val="0"/>
      </w:pPr>
    </w:p>
    <w:p w:rsidR="005F28D5" w:rsidRPr="000630D3" w:rsidRDefault="005F28D5" w:rsidP="004C4CF7">
      <w:pPr>
        <w:spacing w:after="0" w:line="240" w:lineRule="auto"/>
      </w:pPr>
      <w:r w:rsidRPr="000630D3">
        <w:rPr>
          <w:shd w:val="clear" w:color="auto" w:fill="FFFFFF"/>
        </w:rPr>
        <w:t>Foundation Awards are focused on early-stage work during which research questions can be defined and partnerships formed and translational approaches explored. Where proposals are founded on existing well developed research and relationships, applicants need to make it clear what is novel about the research and/or partnership.</w:t>
      </w:r>
    </w:p>
    <w:p w:rsidR="005F28D5" w:rsidRPr="000630D3" w:rsidRDefault="005F28D5" w:rsidP="004C4CF7">
      <w:pPr>
        <w:rPr>
          <w:b/>
        </w:rPr>
      </w:pPr>
    </w:p>
    <w:p w:rsidR="005F28D5" w:rsidRPr="000630D3" w:rsidRDefault="005F28D5" w:rsidP="00602089">
      <w:pPr>
        <w:spacing w:after="0" w:line="240" w:lineRule="auto"/>
      </w:pPr>
      <w:r w:rsidRPr="000630D3">
        <w:t xml:space="preserve">The three initial calls aim to rapidly stimulate and enhance research and partnerships needed to pave the way for ambitious GCRF programmes. </w:t>
      </w:r>
      <w:r>
        <w:t>T</w:t>
      </w:r>
      <w:r w:rsidRPr="000630D3">
        <w:t>hey are:</w:t>
      </w:r>
    </w:p>
    <w:p w:rsidR="005F28D5" w:rsidRPr="000630D3" w:rsidRDefault="005F28D5" w:rsidP="00602089">
      <w:pPr>
        <w:spacing w:after="0" w:line="240" w:lineRule="auto"/>
      </w:pPr>
    </w:p>
    <w:p w:rsidR="005F28D5" w:rsidRPr="000630D3" w:rsidRDefault="005F28D5" w:rsidP="00C417BB">
      <w:pPr>
        <w:pStyle w:val="ListParagraph"/>
        <w:numPr>
          <w:ilvl w:val="0"/>
          <w:numId w:val="7"/>
        </w:numPr>
        <w:spacing w:after="0" w:line="240" w:lineRule="auto"/>
        <w:ind w:left="284" w:hanging="284"/>
        <w:rPr>
          <w:b/>
          <w:bCs/>
          <w:u w:val="single"/>
        </w:rPr>
      </w:pPr>
      <w:r w:rsidRPr="000630D3">
        <w:rPr>
          <w:b/>
          <w:bCs/>
          <w:u w:val="single"/>
        </w:rPr>
        <w:t xml:space="preserve">Foundation Awards for Global Agriculture &amp; Food Systems Research </w:t>
      </w:r>
      <w:r w:rsidRPr="000630D3">
        <w:rPr>
          <w:b/>
          <w:bCs/>
        </w:rPr>
        <w:t>(£15 million fund)</w:t>
      </w:r>
    </w:p>
    <w:p w:rsidR="005F28D5" w:rsidRPr="000630D3" w:rsidRDefault="005F28D5" w:rsidP="00C417BB">
      <w:pPr>
        <w:spacing w:after="0" w:line="240" w:lineRule="auto"/>
      </w:pPr>
      <w:hyperlink r:id="rId6" w:history="1">
        <w:r w:rsidRPr="000630D3">
          <w:rPr>
            <w:rStyle w:val="Hyperlink"/>
          </w:rPr>
          <w:t>www.bbsrc.ac.uk/funding/filter/gcrf-agriculture-food-systems/</w:t>
        </w:r>
      </w:hyperlink>
    </w:p>
    <w:p w:rsidR="005F28D5" w:rsidRPr="000630D3" w:rsidRDefault="005F28D5" w:rsidP="00C417BB">
      <w:pPr>
        <w:spacing w:after="0" w:line="240" w:lineRule="auto"/>
      </w:pPr>
      <w:r w:rsidRPr="000630D3">
        <w:t>BBSRC’s usual eligibility rules apply.</w:t>
      </w:r>
    </w:p>
    <w:p w:rsidR="005F28D5" w:rsidRPr="000630D3" w:rsidRDefault="005F28D5" w:rsidP="00C417BB">
      <w:pPr>
        <w:spacing w:after="0" w:line="240" w:lineRule="auto"/>
        <w:rPr>
          <w:b/>
        </w:rPr>
      </w:pPr>
    </w:p>
    <w:p w:rsidR="005F28D5" w:rsidRPr="000630D3" w:rsidRDefault="005F28D5" w:rsidP="00C417BB">
      <w:pPr>
        <w:spacing w:after="0" w:line="240" w:lineRule="auto"/>
        <w:rPr>
          <w:b/>
          <w:bCs/>
        </w:rPr>
      </w:pPr>
      <w:r w:rsidRPr="000630D3">
        <w:rPr>
          <w:b/>
          <w:bCs/>
        </w:rPr>
        <w:t>Funding available for research challenges in five broad areas:</w:t>
      </w:r>
    </w:p>
    <w:p w:rsidR="005F28D5" w:rsidRPr="000630D3" w:rsidRDefault="005F28D5" w:rsidP="00C417BB">
      <w:pPr>
        <w:pStyle w:val="ListParagraph"/>
        <w:numPr>
          <w:ilvl w:val="0"/>
          <w:numId w:val="5"/>
        </w:numPr>
        <w:spacing w:after="0" w:line="240" w:lineRule="auto"/>
        <w:ind w:left="714" w:hanging="357"/>
        <w:contextualSpacing w:val="0"/>
      </w:pPr>
      <w:r w:rsidRPr="000630D3">
        <w:rPr>
          <w:lang w:eastAsia="en-GB"/>
        </w:rPr>
        <w:t>Systems that deliver safe and nutritious food for all</w:t>
      </w:r>
    </w:p>
    <w:p w:rsidR="005F28D5" w:rsidRPr="000630D3" w:rsidRDefault="005F28D5" w:rsidP="00C417BB">
      <w:pPr>
        <w:numPr>
          <w:ilvl w:val="0"/>
          <w:numId w:val="5"/>
        </w:numPr>
        <w:shd w:val="clear" w:color="auto" w:fill="FFFFFF"/>
        <w:spacing w:after="0" w:line="240" w:lineRule="auto"/>
        <w:ind w:left="714" w:hanging="357"/>
        <w:rPr>
          <w:lang w:eastAsia="en-GB"/>
        </w:rPr>
      </w:pPr>
      <w:r w:rsidRPr="000630D3">
        <w:rPr>
          <w:lang w:eastAsia="en-GB"/>
        </w:rPr>
        <w:t>Resilience of the food system to climatic variability</w:t>
      </w:r>
    </w:p>
    <w:p w:rsidR="005F28D5" w:rsidRPr="000630D3" w:rsidRDefault="005F28D5" w:rsidP="00C417BB">
      <w:pPr>
        <w:numPr>
          <w:ilvl w:val="0"/>
          <w:numId w:val="5"/>
        </w:numPr>
        <w:shd w:val="clear" w:color="auto" w:fill="FFFFFF"/>
        <w:spacing w:after="0" w:line="240" w:lineRule="auto"/>
        <w:ind w:left="714" w:hanging="357"/>
        <w:rPr>
          <w:lang w:eastAsia="en-GB"/>
        </w:rPr>
      </w:pPr>
      <w:r w:rsidRPr="000630D3">
        <w:rPr>
          <w:lang w:eastAsia="en-GB"/>
        </w:rPr>
        <w:t>Reducing losses throughout the agri-food chain and reusing unavoidable food waste</w:t>
      </w:r>
    </w:p>
    <w:p w:rsidR="005F28D5" w:rsidRPr="000630D3" w:rsidRDefault="005F28D5" w:rsidP="00C417BB">
      <w:pPr>
        <w:numPr>
          <w:ilvl w:val="0"/>
          <w:numId w:val="5"/>
        </w:numPr>
        <w:shd w:val="clear" w:color="auto" w:fill="FFFFFF"/>
        <w:spacing w:after="0" w:line="240" w:lineRule="auto"/>
        <w:ind w:left="714" w:hanging="357"/>
        <w:rPr>
          <w:lang w:eastAsia="en-GB"/>
        </w:rPr>
      </w:pPr>
      <w:r w:rsidRPr="000630D3">
        <w:rPr>
          <w:lang w:eastAsia="en-GB"/>
        </w:rPr>
        <w:t>Agriculture within the context of the wider landscape</w:t>
      </w:r>
    </w:p>
    <w:p w:rsidR="005F28D5" w:rsidRPr="000630D3" w:rsidRDefault="005F28D5" w:rsidP="00C417BB">
      <w:pPr>
        <w:numPr>
          <w:ilvl w:val="0"/>
          <w:numId w:val="5"/>
        </w:numPr>
        <w:shd w:val="clear" w:color="auto" w:fill="FFFFFF"/>
        <w:spacing w:after="0" w:line="240" w:lineRule="auto"/>
        <w:ind w:left="714" w:hanging="357"/>
        <w:rPr>
          <w:lang w:eastAsia="en-GB"/>
        </w:rPr>
      </w:pPr>
      <w:r w:rsidRPr="000630D3">
        <w:rPr>
          <w:lang w:eastAsia="en-GB"/>
        </w:rPr>
        <w:t>Urban agriculture</w:t>
      </w:r>
    </w:p>
    <w:p w:rsidR="005F28D5" w:rsidRDefault="005F28D5" w:rsidP="00C417BB">
      <w:pPr>
        <w:spacing w:after="0" w:line="240" w:lineRule="auto"/>
        <w:rPr>
          <w:b/>
          <w:bCs/>
        </w:rPr>
      </w:pPr>
    </w:p>
    <w:p w:rsidR="005F28D5" w:rsidRPr="000630D3" w:rsidRDefault="005F28D5" w:rsidP="00C417BB">
      <w:pPr>
        <w:spacing w:after="0" w:line="240" w:lineRule="auto"/>
        <w:rPr>
          <w:b/>
          <w:bCs/>
        </w:rPr>
      </w:pPr>
    </w:p>
    <w:p w:rsidR="005F28D5" w:rsidRPr="000630D3" w:rsidRDefault="005F28D5" w:rsidP="00050281">
      <w:pPr>
        <w:pStyle w:val="ListParagraph"/>
        <w:numPr>
          <w:ilvl w:val="0"/>
          <w:numId w:val="7"/>
        </w:numPr>
        <w:spacing w:after="0" w:line="240" w:lineRule="auto"/>
        <w:ind w:left="284" w:hanging="284"/>
        <w:rPr>
          <w:b/>
        </w:rPr>
      </w:pPr>
      <w:r w:rsidRPr="000630D3">
        <w:rPr>
          <w:b/>
          <w:u w:val="single"/>
        </w:rPr>
        <w:t>Global Infections</w:t>
      </w:r>
      <w:r w:rsidRPr="000630D3">
        <w:rPr>
          <w:b/>
        </w:rPr>
        <w:t xml:space="preserve"> (£9 million fund)</w:t>
      </w:r>
    </w:p>
    <w:p w:rsidR="005F28D5" w:rsidRPr="000630D3" w:rsidRDefault="005F28D5" w:rsidP="00602089">
      <w:pPr>
        <w:spacing w:after="0" w:line="240" w:lineRule="auto"/>
        <w:rPr>
          <w:b/>
        </w:rPr>
      </w:pPr>
      <w:hyperlink r:id="rId7" w:history="1">
        <w:r w:rsidRPr="000630D3">
          <w:rPr>
            <w:rStyle w:val="Hyperlink"/>
            <w:b/>
          </w:rPr>
          <w:t>www.mrc.ac.uk/funding/browse/mrc-global-challenges-research-fund-foundation-awards/</w:t>
        </w:r>
      </w:hyperlink>
    </w:p>
    <w:p w:rsidR="005F28D5" w:rsidRPr="00050281" w:rsidRDefault="005F28D5" w:rsidP="00602089">
      <w:pPr>
        <w:spacing w:after="0" w:line="240" w:lineRule="auto"/>
      </w:pPr>
      <w:r w:rsidRPr="00050281">
        <w:t xml:space="preserve">Standard MRC eligibility criteria apply. </w:t>
      </w:r>
    </w:p>
    <w:p w:rsidR="005F28D5" w:rsidRPr="000630D3" w:rsidRDefault="005F28D5" w:rsidP="00602089">
      <w:pPr>
        <w:spacing w:after="0" w:line="240" w:lineRule="auto"/>
        <w:rPr>
          <w:b/>
        </w:rPr>
      </w:pPr>
    </w:p>
    <w:p w:rsidR="005F28D5" w:rsidRPr="00050281" w:rsidRDefault="005F28D5" w:rsidP="00C417BB">
      <w:pPr>
        <w:spacing w:after="0" w:line="240" w:lineRule="auto"/>
        <w:rPr>
          <w:rFonts w:cs="Arial"/>
          <w:shd w:val="clear" w:color="auto" w:fill="FFFFFF"/>
        </w:rPr>
      </w:pPr>
      <w:r w:rsidRPr="00050281">
        <w:rPr>
          <w:rFonts w:cs="Arial"/>
          <w:shd w:val="clear" w:color="auto" w:fill="FFFFFF"/>
        </w:rPr>
        <w:t>This call provides an opportunity for investigators to</w:t>
      </w:r>
      <w:r w:rsidRPr="00050281">
        <w:rPr>
          <w:rStyle w:val="apple-converted-space"/>
          <w:rFonts w:cs="Arial"/>
          <w:shd w:val="clear" w:color="auto" w:fill="FFFFFF"/>
        </w:rPr>
        <w:t> </w:t>
      </w:r>
      <w:r w:rsidRPr="00050281">
        <w:rPr>
          <w:rStyle w:val="Strong"/>
          <w:rFonts w:cs="Arial"/>
          <w:shd w:val="clear" w:color="auto" w:fill="FFFFFF"/>
        </w:rPr>
        <w:t>develop new or expand existing strands of ODA applicable research and partnerships</w:t>
      </w:r>
      <w:r w:rsidRPr="00050281">
        <w:rPr>
          <w:rStyle w:val="apple-converted-space"/>
          <w:rFonts w:cs="Arial"/>
          <w:shd w:val="clear" w:color="auto" w:fill="FFFFFF"/>
        </w:rPr>
        <w:t> </w:t>
      </w:r>
      <w:r w:rsidRPr="00050281">
        <w:rPr>
          <w:rFonts w:cs="Arial"/>
          <w:shd w:val="clear" w:color="auto" w:fill="FFFFFF"/>
        </w:rPr>
        <w:t>targeting LMIC infectious disease priorities.</w:t>
      </w:r>
    </w:p>
    <w:p w:rsidR="005F28D5" w:rsidRPr="00050281" w:rsidRDefault="005F28D5" w:rsidP="00C417BB">
      <w:pPr>
        <w:spacing w:after="0" w:line="240" w:lineRule="auto"/>
        <w:rPr>
          <w:rFonts w:cs="Arial"/>
          <w:shd w:val="clear" w:color="auto" w:fill="FFFFFF"/>
        </w:rPr>
      </w:pPr>
    </w:p>
    <w:p w:rsidR="005F28D5" w:rsidRPr="00C417BB" w:rsidRDefault="005F28D5" w:rsidP="00C417BB">
      <w:pPr>
        <w:shd w:val="clear" w:color="auto" w:fill="FFFFFF"/>
        <w:spacing w:after="0" w:line="240" w:lineRule="auto"/>
        <w:rPr>
          <w:rFonts w:cs="Arial"/>
          <w:lang w:eastAsia="en-GB"/>
        </w:rPr>
      </w:pPr>
      <w:r w:rsidRPr="00C417BB">
        <w:rPr>
          <w:rFonts w:cs="Arial"/>
          <w:lang w:eastAsia="en-GB"/>
        </w:rPr>
        <w:t>Funding is available for any activity with potential to rapidly advance novel global health discovery and translation research, which is not immediately ready for submission as a standard project or programme application. In many new research areas, foundation funding will need to build capability at the same time as building towards new knowledge.</w:t>
      </w:r>
      <w:r w:rsidRPr="00050281">
        <w:rPr>
          <w:rFonts w:cs="Arial"/>
          <w:lang w:eastAsia="en-GB"/>
        </w:rPr>
        <w:t xml:space="preserve"> S</w:t>
      </w:r>
      <w:r w:rsidRPr="00C417BB">
        <w:rPr>
          <w:rFonts w:cs="Arial"/>
          <w:lang w:eastAsia="en-GB"/>
        </w:rPr>
        <w:t>ystems and ‘One Health’ approaches</w:t>
      </w:r>
      <w:r w:rsidRPr="00050281">
        <w:rPr>
          <w:rFonts w:cs="Arial"/>
          <w:lang w:eastAsia="en-GB"/>
        </w:rPr>
        <w:t xml:space="preserve"> are encouraged</w:t>
      </w:r>
      <w:r w:rsidRPr="00C417BB">
        <w:rPr>
          <w:rFonts w:cs="Arial"/>
          <w:lang w:eastAsia="en-GB"/>
        </w:rPr>
        <w:t>, comparing human and farmed livestock infections, where these add value.</w:t>
      </w:r>
      <w:r w:rsidRPr="00050281">
        <w:rPr>
          <w:rFonts w:cs="Arial"/>
          <w:lang w:eastAsia="en-GB"/>
        </w:rPr>
        <w:t xml:space="preserve"> </w:t>
      </w:r>
      <w:r>
        <w:rPr>
          <w:rFonts w:cs="Arial"/>
          <w:lang w:eastAsia="en-GB"/>
        </w:rPr>
        <w:t xml:space="preserve"> </w:t>
      </w:r>
      <w:r w:rsidRPr="00C417BB">
        <w:rPr>
          <w:rFonts w:cs="Arial"/>
          <w:lang w:eastAsia="en-GB"/>
        </w:rPr>
        <w:t>Areas of opportunity include</w:t>
      </w:r>
      <w:r w:rsidRPr="00050281">
        <w:rPr>
          <w:rFonts w:cs="Arial"/>
          <w:lang w:eastAsia="en-GB"/>
        </w:rPr>
        <w:t>,</w:t>
      </w:r>
      <w:r w:rsidRPr="00C417BB">
        <w:rPr>
          <w:rFonts w:cs="Arial"/>
          <w:lang w:eastAsia="en-GB"/>
        </w:rPr>
        <w:t xml:space="preserve"> but are not limited to:</w:t>
      </w:r>
    </w:p>
    <w:p w:rsidR="005F28D5" w:rsidRPr="00C417BB" w:rsidRDefault="005F28D5" w:rsidP="00C417BB">
      <w:pPr>
        <w:numPr>
          <w:ilvl w:val="0"/>
          <w:numId w:val="10"/>
        </w:numPr>
        <w:shd w:val="clear" w:color="auto" w:fill="FFFFFF"/>
        <w:spacing w:after="0" w:line="240" w:lineRule="auto"/>
        <w:ind w:left="75"/>
        <w:rPr>
          <w:rFonts w:cs="Arial"/>
          <w:lang w:eastAsia="en-GB"/>
        </w:rPr>
      </w:pPr>
      <w:r w:rsidRPr="00C417BB">
        <w:rPr>
          <w:rFonts w:cs="Arial"/>
          <w:lang w:eastAsia="en-GB"/>
        </w:rPr>
        <w:t>Detection and diagnostic development</w:t>
      </w:r>
    </w:p>
    <w:p w:rsidR="005F28D5" w:rsidRPr="00C417BB" w:rsidRDefault="005F28D5" w:rsidP="00C417BB">
      <w:pPr>
        <w:numPr>
          <w:ilvl w:val="0"/>
          <w:numId w:val="10"/>
        </w:numPr>
        <w:shd w:val="clear" w:color="auto" w:fill="FFFFFF"/>
        <w:spacing w:after="0" w:line="240" w:lineRule="auto"/>
        <w:ind w:left="75"/>
        <w:rPr>
          <w:rFonts w:cs="Arial"/>
          <w:lang w:eastAsia="en-GB"/>
        </w:rPr>
      </w:pPr>
      <w:r w:rsidRPr="00C417BB">
        <w:rPr>
          <w:rFonts w:cs="Arial"/>
          <w:lang w:eastAsia="en-GB"/>
        </w:rPr>
        <w:t>Epidemiology/large scale data analysis/comparative studies</w:t>
      </w:r>
    </w:p>
    <w:p w:rsidR="005F28D5" w:rsidRPr="00C417BB" w:rsidRDefault="005F28D5" w:rsidP="00C417BB">
      <w:pPr>
        <w:numPr>
          <w:ilvl w:val="0"/>
          <w:numId w:val="10"/>
        </w:numPr>
        <w:shd w:val="clear" w:color="auto" w:fill="FFFFFF"/>
        <w:spacing w:after="0" w:line="240" w:lineRule="auto"/>
        <w:ind w:left="75"/>
        <w:rPr>
          <w:rFonts w:cs="Arial"/>
          <w:lang w:eastAsia="en-GB"/>
        </w:rPr>
      </w:pPr>
      <w:r w:rsidRPr="00C417BB">
        <w:rPr>
          <w:rFonts w:cs="Arial"/>
          <w:lang w:eastAsia="en-GB"/>
        </w:rPr>
        <w:t>Cultural, social, economic, environmental and political influences on the emergence and spread of infections</w:t>
      </w:r>
    </w:p>
    <w:p w:rsidR="005F28D5" w:rsidRPr="00C417BB" w:rsidRDefault="005F28D5" w:rsidP="00C417BB">
      <w:pPr>
        <w:numPr>
          <w:ilvl w:val="0"/>
          <w:numId w:val="10"/>
        </w:numPr>
        <w:shd w:val="clear" w:color="auto" w:fill="FFFFFF"/>
        <w:spacing w:after="0" w:line="240" w:lineRule="auto"/>
        <w:ind w:left="75"/>
        <w:rPr>
          <w:rFonts w:cs="Arial"/>
          <w:lang w:eastAsia="en-GB"/>
        </w:rPr>
      </w:pPr>
      <w:r w:rsidRPr="00C417BB">
        <w:rPr>
          <w:rFonts w:cs="Arial"/>
          <w:lang w:eastAsia="en-GB"/>
        </w:rPr>
        <w:t>Modelling</w:t>
      </w:r>
    </w:p>
    <w:p w:rsidR="005F28D5" w:rsidRPr="00C417BB" w:rsidRDefault="005F28D5" w:rsidP="00C417BB">
      <w:pPr>
        <w:numPr>
          <w:ilvl w:val="0"/>
          <w:numId w:val="10"/>
        </w:numPr>
        <w:shd w:val="clear" w:color="auto" w:fill="FFFFFF"/>
        <w:spacing w:after="0" w:line="240" w:lineRule="auto"/>
        <w:ind w:left="75"/>
        <w:rPr>
          <w:rFonts w:cs="Arial"/>
          <w:lang w:eastAsia="en-GB"/>
        </w:rPr>
      </w:pPr>
      <w:r w:rsidRPr="00C417BB">
        <w:rPr>
          <w:rFonts w:cs="Arial"/>
          <w:lang w:eastAsia="en-GB"/>
        </w:rPr>
        <w:t>Pathogen biology, including bacteriology, virology, parasitology, and fungal research</w:t>
      </w:r>
    </w:p>
    <w:p w:rsidR="005F28D5" w:rsidRPr="00C417BB" w:rsidRDefault="005F28D5" w:rsidP="00C417BB">
      <w:pPr>
        <w:numPr>
          <w:ilvl w:val="0"/>
          <w:numId w:val="10"/>
        </w:numPr>
        <w:shd w:val="clear" w:color="auto" w:fill="FFFFFF"/>
        <w:spacing w:after="0" w:line="240" w:lineRule="auto"/>
        <w:ind w:left="75"/>
        <w:rPr>
          <w:rFonts w:cs="Arial"/>
          <w:lang w:eastAsia="en-GB"/>
        </w:rPr>
      </w:pPr>
      <w:r w:rsidRPr="00C417BB">
        <w:rPr>
          <w:rFonts w:cs="Arial"/>
          <w:lang w:eastAsia="en-GB"/>
        </w:rPr>
        <w:t>Transmission, including environmental reservoirs, vector ecology and the behavioural and cultural environments</w:t>
      </w:r>
    </w:p>
    <w:p w:rsidR="005F28D5" w:rsidRPr="00C417BB" w:rsidRDefault="005F28D5" w:rsidP="00C417BB">
      <w:pPr>
        <w:numPr>
          <w:ilvl w:val="0"/>
          <w:numId w:val="10"/>
        </w:numPr>
        <w:shd w:val="clear" w:color="auto" w:fill="FFFFFF"/>
        <w:spacing w:after="0" w:line="240" w:lineRule="auto"/>
        <w:ind w:left="75"/>
        <w:rPr>
          <w:rFonts w:cs="Arial"/>
          <w:lang w:eastAsia="en-GB"/>
        </w:rPr>
      </w:pPr>
      <w:r w:rsidRPr="00C417BB">
        <w:rPr>
          <w:rFonts w:cs="Arial"/>
          <w:lang w:eastAsia="en-GB"/>
        </w:rPr>
        <w:t>Vector/host-pathogen interactions (including immune response development/protective immunity/susceptibility/immunomodulation through the life course)</w:t>
      </w:r>
    </w:p>
    <w:p w:rsidR="005F28D5" w:rsidRPr="00C417BB" w:rsidRDefault="005F28D5" w:rsidP="00C417BB">
      <w:pPr>
        <w:numPr>
          <w:ilvl w:val="0"/>
          <w:numId w:val="10"/>
        </w:numPr>
        <w:shd w:val="clear" w:color="auto" w:fill="FFFFFF"/>
        <w:spacing w:after="0" w:line="240" w:lineRule="auto"/>
        <w:ind w:left="75"/>
        <w:rPr>
          <w:rFonts w:cs="Arial"/>
          <w:lang w:eastAsia="en-GB"/>
        </w:rPr>
      </w:pPr>
      <w:r w:rsidRPr="00C417BB">
        <w:rPr>
          <w:rFonts w:cs="Arial"/>
          <w:lang w:eastAsia="en-GB"/>
        </w:rPr>
        <w:t>Chronic and co-infections (including immune responses through the life course)</w:t>
      </w:r>
    </w:p>
    <w:p w:rsidR="005F28D5" w:rsidRPr="00C417BB" w:rsidRDefault="005F28D5" w:rsidP="00C417BB">
      <w:pPr>
        <w:numPr>
          <w:ilvl w:val="0"/>
          <w:numId w:val="10"/>
        </w:numPr>
        <w:shd w:val="clear" w:color="auto" w:fill="FFFFFF"/>
        <w:spacing w:after="0" w:line="240" w:lineRule="auto"/>
        <w:ind w:left="75"/>
        <w:rPr>
          <w:rFonts w:cs="Arial"/>
          <w:lang w:eastAsia="en-GB"/>
        </w:rPr>
      </w:pPr>
      <w:r w:rsidRPr="00C417BB">
        <w:rPr>
          <w:rFonts w:cs="Arial"/>
          <w:lang w:eastAsia="en-GB"/>
        </w:rPr>
        <w:t>Co-morbidity (infection / non-communicable disease)</w:t>
      </w:r>
    </w:p>
    <w:p w:rsidR="005F28D5" w:rsidRPr="00C417BB" w:rsidRDefault="005F28D5" w:rsidP="00C417BB">
      <w:pPr>
        <w:numPr>
          <w:ilvl w:val="0"/>
          <w:numId w:val="10"/>
        </w:numPr>
        <w:shd w:val="clear" w:color="auto" w:fill="FFFFFF"/>
        <w:spacing w:after="0" w:line="240" w:lineRule="auto"/>
        <w:ind w:left="75"/>
        <w:rPr>
          <w:rFonts w:cs="Arial"/>
          <w:lang w:eastAsia="en-GB"/>
        </w:rPr>
      </w:pPr>
      <w:r w:rsidRPr="00C417BB">
        <w:rPr>
          <w:rFonts w:cs="Arial"/>
          <w:lang w:eastAsia="en-GB"/>
        </w:rPr>
        <w:t>Microbiome – role in resilience/susceptibility/modulating the success of therapeutic intervention</w:t>
      </w:r>
    </w:p>
    <w:p w:rsidR="005F28D5" w:rsidRPr="00C417BB" w:rsidRDefault="005F28D5" w:rsidP="00C417BB">
      <w:pPr>
        <w:numPr>
          <w:ilvl w:val="0"/>
          <w:numId w:val="10"/>
        </w:numPr>
        <w:shd w:val="clear" w:color="auto" w:fill="FFFFFF"/>
        <w:spacing w:after="0" w:line="240" w:lineRule="auto"/>
        <w:ind w:left="75"/>
        <w:rPr>
          <w:rFonts w:cs="Arial"/>
          <w:lang w:eastAsia="en-GB"/>
        </w:rPr>
      </w:pPr>
      <w:r w:rsidRPr="00C417BB">
        <w:rPr>
          <w:rFonts w:cs="Arial"/>
          <w:lang w:eastAsia="en-GB"/>
        </w:rPr>
        <w:t>Early stage prevention, tailored design opportunities and intervention development</w:t>
      </w:r>
    </w:p>
    <w:p w:rsidR="005F28D5" w:rsidRPr="00C417BB" w:rsidRDefault="005F28D5" w:rsidP="00C417BB">
      <w:pPr>
        <w:numPr>
          <w:ilvl w:val="0"/>
          <w:numId w:val="10"/>
        </w:numPr>
        <w:shd w:val="clear" w:color="auto" w:fill="FFFFFF"/>
        <w:spacing w:after="0" w:line="240" w:lineRule="auto"/>
        <w:ind w:left="75"/>
        <w:rPr>
          <w:rFonts w:cs="Arial"/>
          <w:lang w:eastAsia="en-GB"/>
        </w:rPr>
      </w:pPr>
      <w:r w:rsidRPr="00C417BB">
        <w:rPr>
          <w:rFonts w:cs="Arial"/>
          <w:lang w:eastAsia="en-GB"/>
        </w:rPr>
        <w:t>Emergence of resistance, and combatting resistance in non-bacterial infection</w:t>
      </w:r>
    </w:p>
    <w:p w:rsidR="005F28D5" w:rsidRPr="00050281" w:rsidRDefault="005F28D5" w:rsidP="00325843">
      <w:pPr>
        <w:spacing w:after="0" w:line="240" w:lineRule="auto"/>
        <w:rPr>
          <w:rStyle w:val="apple-converted-space"/>
          <w:rFonts w:cs="Arial"/>
          <w:shd w:val="clear" w:color="auto" w:fill="FFFFFF"/>
        </w:rPr>
      </w:pPr>
    </w:p>
    <w:p w:rsidR="005F28D5" w:rsidRPr="00050281" w:rsidRDefault="005F28D5" w:rsidP="00325843">
      <w:pPr>
        <w:spacing w:after="0" w:line="240" w:lineRule="auto"/>
        <w:rPr>
          <w:rStyle w:val="apple-converted-space"/>
          <w:rFonts w:cs="Arial"/>
          <w:shd w:val="clear" w:color="auto" w:fill="FFFFFF"/>
        </w:rPr>
      </w:pPr>
    </w:p>
    <w:p w:rsidR="005F28D5" w:rsidRPr="00050281" w:rsidRDefault="005F28D5" w:rsidP="00050281">
      <w:pPr>
        <w:pStyle w:val="ListParagraph"/>
        <w:numPr>
          <w:ilvl w:val="0"/>
          <w:numId w:val="7"/>
        </w:numPr>
        <w:spacing w:after="0" w:line="240" w:lineRule="auto"/>
        <w:ind w:left="284" w:hanging="284"/>
        <w:rPr>
          <w:b/>
        </w:rPr>
      </w:pPr>
      <w:r w:rsidRPr="00050281">
        <w:rPr>
          <w:b/>
          <w:u w:val="single"/>
        </w:rPr>
        <w:t>Non-communicable Diseases</w:t>
      </w:r>
      <w:r w:rsidRPr="00050281">
        <w:rPr>
          <w:b/>
        </w:rPr>
        <w:t xml:space="preserve"> (£19m fund)</w:t>
      </w:r>
    </w:p>
    <w:p w:rsidR="005F28D5" w:rsidRPr="00050281" w:rsidRDefault="005F28D5" w:rsidP="00602089">
      <w:pPr>
        <w:spacing w:after="0" w:line="240" w:lineRule="auto"/>
      </w:pPr>
      <w:r w:rsidRPr="00050281">
        <w:t xml:space="preserve">Standard MRC eligibility criteria apply. </w:t>
      </w:r>
    </w:p>
    <w:p w:rsidR="005F28D5" w:rsidRPr="000630D3" w:rsidRDefault="005F28D5" w:rsidP="00325843">
      <w:pPr>
        <w:spacing w:after="0" w:line="240" w:lineRule="auto"/>
      </w:pPr>
    </w:p>
    <w:p w:rsidR="005F28D5" w:rsidRPr="000630D3" w:rsidRDefault="005F28D5" w:rsidP="00325843">
      <w:pPr>
        <w:spacing w:after="0" w:line="240" w:lineRule="auto"/>
      </w:pPr>
      <w:r w:rsidRPr="000630D3">
        <w:t>The health needs of LMICs are evolving, and non-communicable diseases represent the new health challenge. Understanding wider and more extreme variation in diet, environment, behaviours or in early life, and a more complete understanding of human biological and cultural variability will give new insights into universal processes in human health and disease.</w:t>
      </w:r>
    </w:p>
    <w:p w:rsidR="005F28D5" w:rsidRPr="000630D3" w:rsidRDefault="005F28D5" w:rsidP="00325843">
      <w:pPr>
        <w:spacing w:after="0" w:line="240" w:lineRule="auto"/>
      </w:pPr>
    </w:p>
    <w:p w:rsidR="005F28D5" w:rsidRPr="00050281" w:rsidRDefault="005F28D5" w:rsidP="00602089">
      <w:pPr>
        <w:spacing w:after="0" w:line="240" w:lineRule="auto"/>
      </w:pPr>
      <w:r w:rsidRPr="000630D3">
        <w:t xml:space="preserve">This call is open to supporting new research in any area of health. The priority area of particular relevance to the Cambridge Global Food </w:t>
      </w:r>
      <w:r w:rsidRPr="00050281">
        <w:t>Security Initiative is:</w:t>
      </w:r>
    </w:p>
    <w:p w:rsidR="005F28D5" w:rsidRPr="00050281" w:rsidRDefault="005F28D5" w:rsidP="00602089">
      <w:pPr>
        <w:spacing w:after="0" w:line="240" w:lineRule="auto"/>
      </w:pPr>
    </w:p>
    <w:p w:rsidR="005F28D5" w:rsidRPr="00602089" w:rsidRDefault="005F28D5" w:rsidP="00602089">
      <w:pPr>
        <w:numPr>
          <w:ilvl w:val="0"/>
          <w:numId w:val="11"/>
        </w:numPr>
        <w:shd w:val="clear" w:color="auto" w:fill="FFFFFF"/>
        <w:spacing w:after="0" w:line="240" w:lineRule="auto"/>
        <w:ind w:left="75"/>
        <w:rPr>
          <w:rFonts w:cs="Arial"/>
          <w:lang w:eastAsia="en-GB"/>
        </w:rPr>
      </w:pPr>
      <w:r w:rsidRPr="00602089">
        <w:rPr>
          <w:rFonts w:cs="Arial"/>
          <w:lang w:eastAsia="en-GB"/>
        </w:rPr>
        <w:t>Impacts of demographic/behavioural changes across the lifecourse (including food and nutrition, malnutrition, obesity and physical activity) and cultural factors, with a focus on maintaining health</w:t>
      </w:r>
      <w:r w:rsidRPr="00050281">
        <w:rPr>
          <w:rFonts w:cs="Arial"/>
          <w:lang w:eastAsia="en-GB"/>
        </w:rPr>
        <w:t>.</w:t>
      </w:r>
    </w:p>
    <w:p w:rsidR="005F28D5" w:rsidRPr="000630D3" w:rsidRDefault="005F28D5" w:rsidP="007A5D9F">
      <w:pPr>
        <w:pStyle w:val="Heading1"/>
        <w:shd w:val="clear" w:color="auto" w:fill="FFFFFF"/>
        <w:spacing w:before="0" w:beforeAutospacing="0" w:after="0" w:afterAutospacing="0"/>
        <w:rPr>
          <w:rFonts w:ascii="Calibri" w:hAnsi="Calibri"/>
          <w:sz w:val="22"/>
          <w:szCs w:val="22"/>
        </w:rPr>
      </w:pPr>
    </w:p>
    <w:p w:rsidR="005F28D5" w:rsidRPr="000630D3" w:rsidRDefault="005F28D5" w:rsidP="007A5D9F">
      <w:pPr>
        <w:pStyle w:val="Heading1"/>
        <w:shd w:val="clear" w:color="auto" w:fill="FFFFFF"/>
        <w:spacing w:before="0" w:beforeAutospacing="0" w:after="0" w:afterAutospacing="0"/>
        <w:rPr>
          <w:rFonts w:ascii="Calibri" w:hAnsi="Calibri"/>
          <w:sz w:val="22"/>
          <w:szCs w:val="22"/>
        </w:rPr>
      </w:pPr>
    </w:p>
    <w:p w:rsidR="005F28D5" w:rsidRDefault="005F28D5">
      <w:pPr>
        <w:rPr>
          <w:b/>
          <w:bCs/>
          <w:kern w:val="36"/>
          <w:lang w:eastAsia="en-GB"/>
        </w:rPr>
      </w:pPr>
      <w:r>
        <w:br w:type="page"/>
      </w:r>
    </w:p>
    <w:p w:rsidR="005F28D5" w:rsidRPr="000630D3" w:rsidRDefault="005F28D5" w:rsidP="007A5D9F">
      <w:pPr>
        <w:pStyle w:val="Heading1"/>
        <w:shd w:val="clear" w:color="auto" w:fill="FFFFFF"/>
        <w:spacing w:before="0" w:beforeAutospacing="0" w:after="0" w:afterAutospacing="0"/>
        <w:rPr>
          <w:rFonts w:ascii="Calibri" w:hAnsi="Calibri"/>
          <w:sz w:val="22"/>
          <w:szCs w:val="22"/>
        </w:rPr>
      </w:pPr>
      <w:r w:rsidRPr="000630D3">
        <w:rPr>
          <w:rFonts w:ascii="Calibri" w:hAnsi="Calibri"/>
          <w:sz w:val="22"/>
          <w:szCs w:val="22"/>
        </w:rPr>
        <w:t>IS MY PROJECT ODA COMPLIANT?</w:t>
      </w:r>
    </w:p>
    <w:p w:rsidR="005F28D5" w:rsidRPr="000630D3" w:rsidRDefault="005F28D5" w:rsidP="00050281">
      <w:pPr>
        <w:spacing w:after="0" w:line="240" w:lineRule="auto"/>
      </w:pPr>
      <w:r w:rsidRPr="00050281">
        <w:rPr>
          <w:rFonts w:cs="Arial"/>
          <w:shd w:val="clear" w:color="auto" w:fill="FFFFFF"/>
        </w:rPr>
        <w:t>All research funded through the GCRF Foundation Awards call will be part of the UK’s Official Development Assistance (ODA).  Applications must be primarily relevant to near-term or long-term benefits to the health or prosperity of Low or Middle Income Countries.</w:t>
      </w:r>
      <w:r w:rsidRPr="00050281">
        <w:rPr>
          <w:rStyle w:val="apple-converted-space"/>
          <w:rFonts w:cs="Arial"/>
          <w:shd w:val="clear" w:color="auto" w:fill="FFFFFF"/>
        </w:rPr>
        <w:t> </w:t>
      </w:r>
      <w:r w:rsidRPr="000630D3">
        <w:t>There are guidelines to ODA eligibility at:</w:t>
      </w:r>
    </w:p>
    <w:p w:rsidR="005F28D5" w:rsidRPr="000630D3" w:rsidRDefault="005F28D5" w:rsidP="00505F8D">
      <w:pPr>
        <w:spacing w:after="0" w:line="240" w:lineRule="auto"/>
      </w:pPr>
      <w:hyperlink r:id="rId8" w:history="1">
        <w:r w:rsidRPr="000630D3">
          <w:rPr>
            <w:rStyle w:val="Hyperlink"/>
            <w:color w:val="auto"/>
          </w:rPr>
          <w:t>www.oecd.org/dac/stats/34086975.pdf</w:t>
        </w:r>
      </w:hyperlink>
    </w:p>
    <w:p w:rsidR="005F28D5" w:rsidRPr="000630D3" w:rsidRDefault="005F28D5" w:rsidP="00505F8D">
      <w:pPr>
        <w:spacing w:after="0" w:line="240" w:lineRule="auto"/>
      </w:pPr>
      <w:hyperlink r:id="rId9" w:history="1">
        <w:r w:rsidRPr="000630D3">
          <w:rPr>
            <w:rStyle w:val="Hyperlink"/>
            <w:color w:val="auto"/>
            <w:shd w:val="clear" w:color="auto" w:fill="FFFFFF"/>
          </w:rPr>
          <w:t>www.oecd.org/dac/stats/officialdevelopmentassistancedefinitionandcoverage.htm</w:t>
        </w:r>
      </w:hyperlink>
      <w:r w:rsidRPr="000630D3">
        <w:br/>
      </w:r>
    </w:p>
    <w:p w:rsidR="005F28D5" w:rsidRPr="000630D3" w:rsidRDefault="005F28D5" w:rsidP="007A5D9F">
      <w:pPr>
        <w:pStyle w:val="NormalWeb"/>
        <w:shd w:val="clear" w:color="auto" w:fill="FFFFFF"/>
        <w:spacing w:before="0" w:beforeAutospacing="0" w:after="0" w:afterAutospacing="0"/>
        <w:rPr>
          <w:rFonts w:ascii="Calibri" w:hAnsi="Calibri"/>
          <w:sz w:val="22"/>
          <w:szCs w:val="22"/>
        </w:rPr>
      </w:pPr>
      <w:r w:rsidRPr="000630D3">
        <w:rPr>
          <w:rFonts w:ascii="Calibri" w:hAnsi="Calibri"/>
          <w:sz w:val="22"/>
          <w:szCs w:val="22"/>
        </w:rPr>
        <w:t>Note that slight differences in context and detail could mean that an activity would or would not be ODA eligible. Questions you may wish to consider include:</w:t>
      </w:r>
    </w:p>
    <w:p w:rsidR="005F28D5" w:rsidRPr="000630D3" w:rsidRDefault="005F28D5" w:rsidP="007A5D9F">
      <w:pPr>
        <w:numPr>
          <w:ilvl w:val="0"/>
          <w:numId w:val="3"/>
        </w:numPr>
        <w:shd w:val="clear" w:color="auto" w:fill="FFFFFF"/>
        <w:spacing w:after="0" w:line="240" w:lineRule="auto"/>
        <w:ind w:left="0" w:firstLine="0"/>
      </w:pPr>
      <w:r w:rsidRPr="000630D3">
        <w:t>Is the project addressing the economic development and welfare of the country in question?</w:t>
      </w:r>
    </w:p>
    <w:p w:rsidR="005F28D5" w:rsidRPr="000630D3" w:rsidRDefault="005F28D5" w:rsidP="007A5D9F">
      <w:pPr>
        <w:pStyle w:val="ListParagraph"/>
        <w:numPr>
          <w:ilvl w:val="0"/>
          <w:numId w:val="3"/>
        </w:numPr>
        <w:shd w:val="clear" w:color="auto" w:fill="FFFFFF"/>
        <w:spacing w:after="0" w:line="240" w:lineRule="auto"/>
        <w:ind w:left="0" w:firstLine="0"/>
      </w:pPr>
      <w:r w:rsidRPr="000630D3">
        <w:t>Are the countries involved on the</w:t>
      </w:r>
      <w:r w:rsidRPr="000630D3">
        <w:rPr>
          <w:rStyle w:val="apple-converted-space"/>
        </w:rPr>
        <w:t> </w:t>
      </w:r>
      <w:hyperlink r:id="rId10" w:history="1">
        <w:r w:rsidRPr="000630D3">
          <w:rPr>
            <w:rStyle w:val="Hyperlink"/>
            <w:color w:val="auto"/>
          </w:rPr>
          <w:t>DAC List of ODA Recipients</w:t>
        </w:r>
      </w:hyperlink>
      <w:r w:rsidRPr="000630D3">
        <w:t> (</w:t>
      </w:r>
      <w:r w:rsidRPr="000630D3">
        <w:rPr>
          <w:shd w:val="clear" w:color="auto" w:fill="FFFFFF"/>
        </w:rPr>
        <w:t>the Development Assistant   Committee of the OECD)</w:t>
      </w:r>
    </w:p>
    <w:p w:rsidR="005F28D5" w:rsidRPr="000630D3" w:rsidRDefault="005F28D5" w:rsidP="007A5D9F">
      <w:pPr>
        <w:numPr>
          <w:ilvl w:val="0"/>
          <w:numId w:val="3"/>
        </w:numPr>
        <w:shd w:val="clear" w:color="auto" w:fill="FFFFFF"/>
        <w:spacing w:after="0" w:line="240" w:lineRule="auto"/>
        <w:ind w:left="0" w:firstLine="0"/>
      </w:pPr>
      <w:r w:rsidRPr="000630D3">
        <w:t>Is there a development need that my project or activity is addressing?</w:t>
      </w:r>
    </w:p>
    <w:p w:rsidR="005F28D5" w:rsidRPr="000630D3" w:rsidRDefault="005F28D5" w:rsidP="007A5D9F">
      <w:pPr>
        <w:numPr>
          <w:ilvl w:val="0"/>
          <w:numId w:val="3"/>
        </w:numPr>
        <w:shd w:val="clear" w:color="auto" w:fill="FFFFFF"/>
        <w:spacing w:after="0" w:line="240" w:lineRule="auto"/>
        <w:ind w:left="0" w:firstLine="0"/>
      </w:pPr>
      <w:r w:rsidRPr="000630D3">
        <w:t>Is this credible or is there evidence of the need?</w:t>
      </w:r>
    </w:p>
    <w:p w:rsidR="005F28D5" w:rsidRPr="000630D3" w:rsidRDefault="005F28D5" w:rsidP="007A5D9F">
      <w:pPr>
        <w:numPr>
          <w:ilvl w:val="0"/>
          <w:numId w:val="3"/>
        </w:numPr>
        <w:shd w:val="clear" w:color="auto" w:fill="FFFFFF"/>
        <w:spacing w:after="0" w:line="240" w:lineRule="auto"/>
        <w:ind w:left="0" w:firstLine="0"/>
      </w:pPr>
      <w:r w:rsidRPr="000630D3">
        <w:t>How would this project or activity be applied in the country?</w:t>
      </w:r>
    </w:p>
    <w:p w:rsidR="005F28D5" w:rsidRPr="000630D3" w:rsidRDefault="005F28D5" w:rsidP="007A5D9F">
      <w:pPr>
        <w:numPr>
          <w:ilvl w:val="0"/>
          <w:numId w:val="3"/>
        </w:numPr>
        <w:shd w:val="clear" w:color="auto" w:fill="FFFFFF"/>
        <w:spacing w:after="0" w:line="240" w:lineRule="auto"/>
        <w:ind w:left="0" w:firstLine="0"/>
      </w:pPr>
      <w:r w:rsidRPr="000630D3">
        <w:t>What would the impact of my project or activity be, and who would benefit?</w:t>
      </w:r>
    </w:p>
    <w:p w:rsidR="005F28D5" w:rsidRPr="000630D3" w:rsidRDefault="005F28D5" w:rsidP="007A5D9F">
      <w:pPr>
        <w:numPr>
          <w:ilvl w:val="0"/>
          <w:numId w:val="3"/>
        </w:numPr>
        <w:shd w:val="clear" w:color="auto" w:fill="FFFFFF"/>
        <w:spacing w:after="0" w:line="240" w:lineRule="auto"/>
        <w:ind w:left="0" w:firstLine="0"/>
      </w:pPr>
      <w:r w:rsidRPr="000630D3">
        <w:t>How does my project or activity contribute to sustainable development?</w:t>
      </w:r>
    </w:p>
    <w:p w:rsidR="005F28D5" w:rsidRPr="000630D3" w:rsidRDefault="005F28D5" w:rsidP="007A5D9F">
      <w:pPr>
        <w:numPr>
          <w:ilvl w:val="0"/>
          <w:numId w:val="3"/>
        </w:numPr>
        <w:shd w:val="clear" w:color="auto" w:fill="FFFFFF"/>
        <w:spacing w:after="0" w:line="240" w:lineRule="auto"/>
        <w:ind w:left="0" w:firstLine="0"/>
      </w:pPr>
      <w:r w:rsidRPr="000630D3">
        <w:t>Would this lead to a reduction in poverty in a developing country?</w:t>
      </w:r>
    </w:p>
    <w:p w:rsidR="005F28D5" w:rsidRPr="000630D3" w:rsidRDefault="005F28D5" w:rsidP="007A5D9F">
      <w:pPr>
        <w:numPr>
          <w:ilvl w:val="0"/>
          <w:numId w:val="3"/>
        </w:numPr>
        <w:shd w:val="clear" w:color="auto" w:fill="FFFFFF"/>
        <w:spacing w:after="0" w:line="240" w:lineRule="auto"/>
        <w:ind w:left="0" w:firstLine="0"/>
      </w:pPr>
      <w:r w:rsidRPr="000630D3">
        <w:t>What would success for this activity look like?</w:t>
      </w:r>
    </w:p>
    <w:p w:rsidR="005F28D5" w:rsidRPr="000630D3" w:rsidRDefault="005F28D5" w:rsidP="007A5D9F">
      <w:pPr>
        <w:numPr>
          <w:ilvl w:val="0"/>
          <w:numId w:val="3"/>
        </w:numPr>
        <w:shd w:val="clear" w:color="auto" w:fill="FFFFFF"/>
        <w:spacing w:after="0" w:line="240" w:lineRule="auto"/>
        <w:ind w:left="0" w:firstLine="0"/>
      </w:pPr>
      <w:r w:rsidRPr="000630D3">
        <w:t>How would success or impact be measured?</w:t>
      </w:r>
    </w:p>
    <w:p w:rsidR="005F28D5" w:rsidRPr="000630D3" w:rsidRDefault="005F28D5" w:rsidP="007A5D9F">
      <w:pPr>
        <w:ind w:left="720" w:firstLine="720"/>
        <w:rPr>
          <w:color w:val="1F497D"/>
        </w:rPr>
      </w:pPr>
    </w:p>
    <w:p w:rsidR="005F28D5" w:rsidRDefault="005F28D5" w:rsidP="007A5D9F">
      <w:pPr>
        <w:rPr>
          <w:b/>
        </w:rPr>
      </w:pPr>
    </w:p>
    <w:p w:rsidR="005F28D5" w:rsidRPr="000630D3" w:rsidRDefault="005F28D5" w:rsidP="007A5D9F">
      <w:pPr>
        <w:rPr>
          <w:b/>
        </w:rPr>
      </w:pPr>
      <w:r w:rsidRPr="000630D3">
        <w:rPr>
          <w:b/>
        </w:rPr>
        <w:t>CAMBRIGE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7"/>
        <w:gridCol w:w="3021"/>
        <w:gridCol w:w="3032"/>
        <w:gridCol w:w="1026"/>
      </w:tblGrid>
      <w:tr w:rsidR="005F28D5" w:rsidRPr="00C87EE7" w:rsidTr="00C87EE7">
        <w:tc>
          <w:tcPr>
            <w:tcW w:w="1937" w:type="dxa"/>
          </w:tcPr>
          <w:p w:rsidR="005F28D5" w:rsidRPr="00C87EE7" w:rsidRDefault="005F28D5" w:rsidP="00C87EE7">
            <w:pPr>
              <w:spacing w:after="0" w:line="240" w:lineRule="auto"/>
            </w:pPr>
            <w:r w:rsidRPr="00C87EE7">
              <w:rPr>
                <w:bCs/>
              </w:rPr>
              <w:t>Jacqueline Garget</w:t>
            </w:r>
          </w:p>
        </w:tc>
        <w:tc>
          <w:tcPr>
            <w:tcW w:w="3021" w:type="dxa"/>
          </w:tcPr>
          <w:p w:rsidR="005F28D5" w:rsidRPr="00C87EE7" w:rsidRDefault="005F28D5" w:rsidP="00C87EE7">
            <w:pPr>
              <w:spacing w:after="0" w:line="240" w:lineRule="auto"/>
            </w:pPr>
            <w:r w:rsidRPr="00C87EE7">
              <w:rPr>
                <w:bCs/>
              </w:rPr>
              <w:t>Coordinator, Cambridge Global Food Security SRI</w:t>
            </w:r>
          </w:p>
        </w:tc>
        <w:tc>
          <w:tcPr>
            <w:tcW w:w="3032" w:type="dxa"/>
          </w:tcPr>
          <w:p w:rsidR="005F28D5" w:rsidRPr="00C87EE7" w:rsidRDefault="005F28D5" w:rsidP="00C87EE7">
            <w:pPr>
              <w:spacing w:after="0" w:line="240" w:lineRule="auto"/>
            </w:pPr>
            <w:r w:rsidRPr="00C87EE7">
              <w:rPr>
                <w:bCs/>
              </w:rPr>
              <w:t>jg533@cam.ac.uk</w:t>
            </w:r>
          </w:p>
        </w:tc>
        <w:tc>
          <w:tcPr>
            <w:tcW w:w="1026" w:type="dxa"/>
          </w:tcPr>
          <w:p w:rsidR="005F28D5" w:rsidRPr="00C87EE7" w:rsidRDefault="005F28D5" w:rsidP="00C87EE7">
            <w:pPr>
              <w:spacing w:after="0" w:line="240" w:lineRule="auto"/>
            </w:pPr>
            <w:r w:rsidRPr="00C87EE7">
              <w:t>333925</w:t>
            </w:r>
          </w:p>
        </w:tc>
      </w:tr>
      <w:tr w:rsidR="005F28D5" w:rsidRPr="00C87EE7" w:rsidTr="00C87EE7">
        <w:tc>
          <w:tcPr>
            <w:tcW w:w="1937" w:type="dxa"/>
          </w:tcPr>
          <w:p w:rsidR="005F28D5" w:rsidRPr="00C87EE7" w:rsidRDefault="005F28D5" w:rsidP="00C87EE7">
            <w:pPr>
              <w:spacing w:after="0" w:line="240" w:lineRule="auto"/>
            </w:pPr>
            <w:r w:rsidRPr="00C87EE7">
              <w:t>Mariana Fazenda</w:t>
            </w:r>
          </w:p>
        </w:tc>
        <w:tc>
          <w:tcPr>
            <w:tcW w:w="3021" w:type="dxa"/>
          </w:tcPr>
          <w:p w:rsidR="005F28D5" w:rsidRPr="00C87EE7" w:rsidRDefault="005F28D5" w:rsidP="00C87EE7">
            <w:pPr>
              <w:spacing w:after="0" w:line="240" w:lineRule="auto"/>
            </w:pPr>
            <w:r w:rsidRPr="00C87EE7">
              <w:t>Innovation and Enterprise Officer; Cambplants Coordinator</w:t>
            </w:r>
          </w:p>
        </w:tc>
        <w:tc>
          <w:tcPr>
            <w:tcW w:w="3032" w:type="dxa"/>
          </w:tcPr>
          <w:p w:rsidR="005F28D5" w:rsidRPr="00C87EE7" w:rsidRDefault="005F28D5" w:rsidP="00C87EE7">
            <w:pPr>
              <w:spacing w:after="0" w:line="240" w:lineRule="auto"/>
            </w:pPr>
            <w:r w:rsidRPr="00C87EE7">
              <w:t>Ml745@cam.ac.uk</w:t>
            </w:r>
          </w:p>
        </w:tc>
        <w:tc>
          <w:tcPr>
            <w:tcW w:w="1026" w:type="dxa"/>
          </w:tcPr>
          <w:p w:rsidR="005F28D5" w:rsidRPr="00C87EE7" w:rsidRDefault="005F28D5" w:rsidP="00C87EE7">
            <w:pPr>
              <w:spacing w:after="0" w:line="240" w:lineRule="auto"/>
            </w:pPr>
            <w:r w:rsidRPr="00C87EE7">
              <w:t>333956</w:t>
            </w:r>
          </w:p>
        </w:tc>
      </w:tr>
      <w:tr w:rsidR="005F28D5" w:rsidRPr="00C87EE7" w:rsidTr="00C87EE7">
        <w:tc>
          <w:tcPr>
            <w:tcW w:w="1937" w:type="dxa"/>
          </w:tcPr>
          <w:p w:rsidR="005F28D5" w:rsidRPr="00C87EE7" w:rsidRDefault="005F28D5" w:rsidP="00C87EE7">
            <w:pPr>
              <w:spacing w:after="0" w:line="240" w:lineRule="auto"/>
            </w:pPr>
            <w:r w:rsidRPr="00C87EE7">
              <w:t>Kate Parsley</w:t>
            </w:r>
          </w:p>
        </w:tc>
        <w:tc>
          <w:tcPr>
            <w:tcW w:w="3021" w:type="dxa"/>
          </w:tcPr>
          <w:p w:rsidR="005F28D5" w:rsidRPr="00C87EE7" w:rsidRDefault="005F28D5" w:rsidP="00C87EE7">
            <w:pPr>
              <w:spacing w:after="0" w:line="240" w:lineRule="auto"/>
            </w:pPr>
            <w:r w:rsidRPr="00C87EE7">
              <w:t>Research Facilitator, Bioscience Impact Team, School of Biological Sciences</w:t>
            </w:r>
            <w:bookmarkStart w:id="0" w:name="_GoBack"/>
            <w:bookmarkEnd w:id="0"/>
          </w:p>
        </w:tc>
        <w:tc>
          <w:tcPr>
            <w:tcW w:w="3032" w:type="dxa"/>
          </w:tcPr>
          <w:p w:rsidR="005F28D5" w:rsidRPr="00C87EE7" w:rsidRDefault="005F28D5" w:rsidP="00C87EE7">
            <w:pPr>
              <w:spacing w:after="0" w:line="240" w:lineRule="auto"/>
            </w:pPr>
            <w:r w:rsidRPr="00C87EE7">
              <w:t>Kate.parsley@admin.cam.ac.uk</w:t>
            </w:r>
          </w:p>
        </w:tc>
        <w:tc>
          <w:tcPr>
            <w:tcW w:w="1026" w:type="dxa"/>
          </w:tcPr>
          <w:p w:rsidR="005F28D5" w:rsidRPr="00C87EE7" w:rsidRDefault="005F28D5" w:rsidP="00C87EE7">
            <w:pPr>
              <w:spacing w:after="0" w:line="240" w:lineRule="auto"/>
            </w:pPr>
            <w:r w:rsidRPr="00C87EE7">
              <w:t>765192</w:t>
            </w:r>
          </w:p>
        </w:tc>
      </w:tr>
    </w:tbl>
    <w:p w:rsidR="005F28D5" w:rsidRPr="000630D3" w:rsidRDefault="005F28D5" w:rsidP="007A5D9F">
      <w:pPr>
        <w:rPr>
          <w:bCs/>
          <w:color w:val="1F497D"/>
        </w:rPr>
      </w:pPr>
    </w:p>
    <w:sectPr w:rsidR="005F28D5" w:rsidRPr="000630D3" w:rsidSect="000630D3">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22A10"/>
    <w:multiLevelType w:val="multilevel"/>
    <w:tmpl w:val="E9DE797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17E38DB"/>
    <w:multiLevelType w:val="multilevel"/>
    <w:tmpl w:val="F78C7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3DD494C"/>
    <w:multiLevelType w:val="multilevel"/>
    <w:tmpl w:val="F78C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E417F7"/>
    <w:multiLevelType w:val="hybridMultilevel"/>
    <w:tmpl w:val="E3523EE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44733076"/>
    <w:multiLevelType w:val="multilevel"/>
    <w:tmpl w:val="F78C7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1207A20"/>
    <w:multiLevelType w:val="hybridMultilevel"/>
    <w:tmpl w:val="75BE82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615C478B"/>
    <w:multiLevelType w:val="multilevel"/>
    <w:tmpl w:val="F78C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37312C"/>
    <w:multiLevelType w:val="hybridMultilevel"/>
    <w:tmpl w:val="68E48F4E"/>
    <w:lvl w:ilvl="0" w:tplc="147AF00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6CFA07CF"/>
    <w:multiLevelType w:val="multilevel"/>
    <w:tmpl w:val="1F26796C"/>
    <w:lvl w:ilvl="0">
      <w:start w:val="1"/>
      <w:numFmt w:val="decimal"/>
      <w:lvlText w:val="%1."/>
      <w:lvlJc w:val="left"/>
      <w:pPr>
        <w:tabs>
          <w:tab w:val="num" w:pos="720"/>
        </w:tabs>
        <w:ind w:left="720" w:hanging="360"/>
      </w:pPr>
      <w:rPr>
        <w:rFonts w:ascii="Calibri" w:eastAsia="Times New Roman" w:hAnsi="Calibri" w:cs="Arial"/>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7A264ADB"/>
    <w:multiLevelType w:val="multilevel"/>
    <w:tmpl w:val="F78C7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7"/>
  </w:num>
  <w:num w:numId="9">
    <w:abstractNumId w:val="9"/>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5843"/>
    <w:rsid w:val="00050281"/>
    <w:rsid w:val="00051A86"/>
    <w:rsid w:val="000630D3"/>
    <w:rsid w:val="00325843"/>
    <w:rsid w:val="003A0FFF"/>
    <w:rsid w:val="003A68A6"/>
    <w:rsid w:val="004C4CF7"/>
    <w:rsid w:val="004D66CC"/>
    <w:rsid w:val="00505F8D"/>
    <w:rsid w:val="005F28D5"/>
    <w:rsid w:val="00602089"/>
    <w:rsid w:val="006C3016"/>
    <w:rsid w:val="006C5B2E"/>
    <w:rsid w:val="007A5D9F"/>
    <w:rsid w:val="00854F51"/>
    <w:rsid w:val="00AF54A6"/>
    <w:rsid w:val="00B37B3F"/>
    <w:rsid w:val="00C417BB"/>
    <w:rsid w:val="00C87EE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B2E"/>
    <w:pPr>
      <w:spacing w:after="160" w:line="259" w:lineRule="auto"/>
    </w:pPr>
    <w:rPr>
      <w:lang w:val="en-GB" w:eastAsia="en-US"/>
    </w:rPr>
  </w:style>
  <w:style w:type="paragraph" w:styleId="Heading1">
    <w:name w:val="heading 1"/>
    <w:basedOn w:val="Normal"/>
    <w:link w:val="Heading1Char"/>
    <w:uiPriority w:val="99"/>
    <w:qFormat/>
    <w:rsid w:val="007A5D9F"/>
    <w:pPr>
      <w:spacing w:before="100" w:beforeAutospacing="1" w:after="100" w:afterAutospacing="1" w:line="240" w:lineRule="auto"/>
      <w:outlineLvl w:val="0"/>
    </w:pPr>
    <w:rPr>
      <w:rFonts w:ascii="Times New Roman" w:hAnsi="Times New Roman"/>
      <w:b/>
      <w:bCs/>
      <w:kern w:val="36"/>
      <w:sz w:val="48"/>
      <w:szCs w:val="48"/>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5D9F"/>
    <w:rPr>
      <w:rFonts w:ascii="Times New Roman" w:hAnsi="Times New Roman" w:cs="Times New Roman"/>
      <w:b/>
      <w:bCs/>
      <w:kern w:val="36"/>
      <w:sz w:val="48"/>
      <w:szCs w:val="48"/>
      <w:lang w:eastAsia="en-GB"/>
    </w:rPr>
  </w:style>
  <w:style w:type="paragraph" w:styleId="ListParagraph">
    <w:name w:val="List Paragraph"/>
    <w:basedOn w:val="Normal"/>
    <w:uiPriority w:val="99"/>
    <w:qFormat/>
    <w:rsid w:val="00325843"/>
    <w:pPr>
      <w:ind w:left="720"/>
      <w:contextualSpacing/>
    </w:pPr>
  </w:style>
  <w:style w:type="character" w:customStyle="1" w:styleId="apple-converted-space">
    <w:name w:val="apple-converted-space"/>
    <w:basedOn w:val="DefaultParagraphFont"/>
    <w:uiPriority w:val="99"/>
    <w:rsid w:val="00325843"/>
    <w:rPr>
      <w:rFonts w:cs="Times New Roman"/>
    </w:rPr>
  </w:style>
  <w:style w:type="character" w:styleId="Hyperlink">
    <w:name w:val="Hyperlink"/>
    <w:basedOn w:val="DefaultParagraphFont"/>
    <w:uiPriority w:val="99"/>
    <w:rsid w:val="007A5D9F"/>
    <w:rPr>
      <w:rFonts w:cs="Times New Roman"/>
      <w:color w:val="0563C1"/>
      <w:u w:val="single"/>
    </w:rPr>
  </w:style>
  <w:style w:type="paragraph" w:styleId="NormalWeb">
    <w:name w:val="Normal (Web)"/>
    <w:basedOn w:val="Normal"/>
    <w:uiPriority w:val="99"/>
    <w:semiHidden/>
    <w:rsid w:val="007A5D9F"/>
    <w:pPr>
      <w:spacing w:before="100" w:beforeAutospacing="1" w:after="100" w:afterAutospacing="1" w:line="240" w:lineRule="auto"/>
    </w:pPr>
    <w:rPr>
      <w:rFonts w:ascii="Times New Roman" w:hAnsi="Times New Roman"/>
      <w:sz w:val="24"/>
      <w:szCs w:val="24"/>
      <w:lang w:eastAsia="en-GB"/>
    </w:rPr>
  </w:style>
  <w:style w:type="table" w:styleId="TableGrid">
    <w:name w:val="Table Grid"/>
    <w:basedOn w:val="TableNormal"/>
    <w:uiPriority w:val="99"/>
    <w:rsid w:val="007A5D9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505F8D"/>
    <w:rPr>
      <w:rFonts w:cs="Times New Roman"/>
      <w:color w:val="954F72"/>
      <w:u w:val="single"/>
    </w:rPr>
  </w:style>
  <w:style w:type="character" w:styleId="Strong">
    <w:name w:val="Strong"/>
    <w:basedOn w:val="DefaultParagraphFont"/>
    <w:uiPriority w:val="99"/>
    <w:qFormat/>
    <w:rsid w:val="00C417BB"/>
    <w:rPr>
      <w:rFonts w:cs="Times New Roman"/>
      <w:b/>
      <w:bCs/>
    </w:rPr>
  </w:style>
</w:styles>
</file>

<file path=word/webSettings.xml><?xml version="1.0" encoding="utf-8"?>
<w:webSettings xmlns:r="http://schemas.openxmlformats.org/officeDocument/2006/relationships" xmlns:w="http://schemas.openxmlformats.org/wordprocessingml/2006/main">
  <w:divs>
    <w:div w:id="875580423">
      <w:marLeft w:val="0"/>
      <w:marRight w:val="0"/>
      <w:marTop w:val="0"/>
      <w:marBottom w:val="0"/>
      <w:divBdr>
        <w:top w:val="none" w:sz="0" w:space="0" w:color="auto"/>
        <w:left w:val="none" w:sz="0" w:space="0" w:color="auto"/>
        <w:bottom w:val="none" w:sz="0" w:space="0" w:color="auto"/>
        <w:right w:val="none" w:sz="0" w:space="0" w:color="auto"/>
      </w:divBdr>
    </w:div>
    <w:div w:id="875580424">
      <w:marLeft w:val="0"/>
      <w:marRight w:val="0"/>
      <w:marTop w:val="0"/>
      <w:marBottom w:val="0"/>
      <w:divBdr>
        <w:top w:val="none" w:sz="0" w:space="0" w:color="auto"/>
        <w:left w:val="none" w:sz="0" w:space="0" w:color="auto"/>
        <w:bottom w:val="none" w:sz="0" w:space="0" w:color="auto"/>
        <w:right w:val="none" w:sz="0" w:space="0" w:color="auto"/>
      </w:divBdr>
    </w:div>
    <w:div w:id="875580425">
      <w:marLeft w:val="0"/>
      <w:marRight w:val="0"/>
      <w:marTop w:val="0"/>
      <w:marBottom w:val="0"/>
      <w:divBdr>
        <w:top w:val="none" w:sz="0" w:space="0" w:color="auto"/>
        <w:left w:val="none" w:sz="0" w:space="0" w:color="auto"/>
        <w:bottom w:val="none" w:sz="0" w:space="0" w:color="auto"/>
        <w:right w:val="none" w:sz="0" w:space="0" w:color="auto"/>
      </w:divBdr>
    </w:div>
    <w:div w:id="8755804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ecd.org/dac/stats/34086975.pdf" TargetMode="External"/><Relationship Id="rId3" Type="http://schemas.openxmlformats.org/officeDocument/2006/relationships/settings" Target="settings.xml"/><Relationship Id="rId7" Type="http://schemas.openxmlformats.org/officeDocument/2006/relationships/hyperlink" Target="http://www.mrc.ac.uk/funding/browse/mrc-global-challenges-research-fund-foundation-awar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src.ac.uk/funding/filter/gcrf-agriculture-food-systems/" TargetMode="External"/><Relationship Id="rId11" Type="http://schemas.openxmlformats.org/officeDocument/2006/relationships/fontTable" Target="fontTable.xml"/><Relationship Id="rId5" Type="http://schemas.openxmlformats.org/officeDocument/2006/relationships/hyperlink" Target="http://ht.ly/SzrS300ao9q" TargetMode="External"/><Relationship Id="rId10" Type="http://schemas.openxmlformats.org/officeDocument/2006/relationships/hyperlink" Target="http://www.oecd.org/dac/stats/daclist.htm" TargetMode="External"/><Relationship Id="rId4" Type="http://schemas.openxmlformats.org/officeDocument/2006/relationships/webSettings" Target="webSettings.xml"/><Relationship Id="rId9" Type="http://schemas.openxmlformats.org/officeDocument/2006/relationships/hyperlink" Target="http://www.oecd.org/dac/stats/officialdevelopmentassistancedefinitionandcoverag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1106</Words>
  <Characters>6305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CHALLENGES RESEARCH FUND - Call for proposals</dc:title>
  <dc:subject/>
  <dc:creator>Jacqueline Garget</dc:creator>
  <cp:keywords/>
  <dc:description/>
  <cp:lastModifiedBy>Ekaterina Nikitina</cp:lastModifiedBy>
  <cp:revision>2</cp:revision>
  <dcterms:created xsi:type="dcterms:W3CDTF">2016-05-20T15:51:00Z</dcterms:created>
  <dcterms:modified xsi:type="dcterms:W3CDTF">2016-05-20T15:51:00Z</dcterms:modified>
</cp:coreProperties>
</file>